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imothy-1"/>
    <w:p>
      <w:pPr>
        <w:pStyle w:val="Heading1"/>
      </w:pPr>
      <w:r>
        <w:t xml:space="preserve">Homiletics Analysis: 1 Timothy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Timothy 1 opens with Paul’s greeting to Timothy, his</w:t>
      </w:r>
      <w:r>
        <w:t xml:space="preserve"> </w:t>
      </w:r>
      <w:r>
        <w:t xml:space="preserve">“true child in the faith”</w:t>
      </w:r>
      <w:r>
        <w:t xml:space="preserve"> </w:t>
      </w:r>
      <w:r>
        <w:t xml:space="preserve">(v. 2), before moving immediately to the letter’s first pressing concern: false teachers in Ephesus who are promoting</w:t>
      </w:r>
      <w:r>
        <w:t xml:space="preserve"> </w:t>
      </w:r>
      <w:r>
        <w:t xml:space="preserve">“myths and endless genealogies”</w:t>
      </w:r>
      <w:r>
        <w:t xml:space="preserve"> </w:t>
      </w:r>
      <w:r>
        <w:t xml:space="preserve">that produce speculation rather than the faithful stewardship God requires (vv. 3–7). Paul diagnoses the false teachers’ fundamental error — they want to be teachers of the law but do not understand either what they are saying or the things about which they make confident assertions (v. 7). Paul then pivots to the law’s proper function: it is not laid down for the righteous but for the lawless, the disobedient, and every other form of human wickedness, all of which stands in contrast to</w:t>
      </w:r>
      <w:r>
        <w:t xml:space="preserve"> </w:t>
      </w:r>
      <w:r>
        <w:t xml:space="preserve">“sound doctrine”</w:t>
      </w:r>
      <w:r>
        <w:t xml:space="preserve"> </w:t>
      </w:r>
      <w:r>
        <w:t xml:space="preserve">that conforms to</w:t>
      </w:r>
      <w:r>
        <w:t xml:space="preserve"> </w:t>
      </w:r>
      <w:r>
        <w:t xml:space="preserve">“the gospel of the glory of the blessed God”</w:t>
      </w:r>
      <w:r>
        <w:t xml:space="preserve"> </w:t>
      </w:r>
      <w:r>
        <w:t xml:space="preserve">(vv. 8–11).</w:t>
      </w:r>
    </w:p>
    <w:p>
      <w:pPr>
        <w:pStyle w:val="BodyText"/>
      </w:pPr>
      <w:r>
        <w:t xml:space="preserve">The chapter’s center of gravity shifts dramatically in verses 12–17, where Paul offers a doxological, autobiographical account of his own conversion and calling. He declares himself</w:t>
      </w:r>
      <w:r>
        <w:t xml:space="preserve"> </w:t>
      </w:r>
      <w:r>
        <w:t xml:space="preserve">“the foremost”</w:t>
      </w:r>
      <w:r>
        <w:t xml:space="preserve"> </w:t>
      </w:r>
      <w:r>
        <w:t xml:space="preserve">of sinners — a blasphemer, persecutor, and man of violence — who received mercy precisely because he acted in ignorance and unbelief, so that Christ Jesus might display in him as the foremost his perfect patience, making him an example for those who would believe (vv. 13–16). This erupts into a spontaneous doxology in verse 17 that functions as the emotional and theological apex of the chapter. The chapter closes with Paul charging Timothy to</w:t>
      </w:r>
      <w:r>
        <w:t xml:space="preserve"> </w:t>
      </w:r>
      <w:r>
        <w:t xml:space="preserve">“wage the good warfare”</w:t>
      </w:r>
      <w:r>
        <w:t xml:space="preserve"> </w:t>
      </w:r>
      <w:r>
        <w:t xml:space="preserve">by holding to faith and a good conscience, and warning him by the negative example of Hymenaeus and Alexander, who by rejecting conscience made shipwreck of their faith (vv. 18–20).</w:t>
      </w:r>
    </w:p>
    <w:p>
      <w:pPr>
        <w:pStyle w:val="BodyText"/>
      </w:pPr>
      <w:r>
        <w:rPr>
          <w:b/>
          <w:bCs/>
        </w:rPr>
        <w:t xml:space="preserve">This Text — Intent:</w:t>
      </w:r>
    </w:p>
    <w:p>
      <w:pPr>
        <w:pStyle w:val="BodyText"/>
      </w:pPr>
      <w:r>
        <w:t xml:space="preserve">God is seeking to accomplish two inseparable effects through this chapter. First, He is establishing the gospel’s utter sufficiency and specificity as the ground and regulator of all sound doctrine — against which the Ephesian false teaching is measured and found fatal. Second, and more urgently, He is holding up the grace shown to Paul — the worst of sinners — as the definitive paradigm of what the gospel is and does, so that Timothy, the Ephesian church, and every subsequent reader will understand that the gospel is not an idea to be supplemented by speculation, but a saving act toward the undeserving that demands faithful stewardship, personal humility, and doxological response.</w:t>
      </w:r>
    </w:p>
    <w:p>
      <w:r>
        <w:pict>
          <v:rect style="width:0;height:1.5pt" o:hralign="center" o:hrstd="t" o:hr="t"/>
        </w:pict>
      </w:r>
    </w:p>
    <w:p>
      <w:pPr>
        <w:pStyle w:val="FirstParagraph"/>
      </w:pPr>
      <w:r>
        <w:rPr>
          <w:b/>
          <w:bCs/>
        </w:rPr>
        <w:t xml:space="preserve">Subject Sentence:</w:t>
      </w:r>
      <w:r>
        <w:t xml:space="preserve"> </w:t>
      </w:r>
      <w:r>
        <w:t xml:space="preserve">Paul grounds Timothy’s charge to guard sound doctrine in the gospel of grace that saved even the worst of sinners.</w:t>
      </w:r>
    </w:p>
    <w:p>
      <w:r>
        <w:pict>
          <v:rect style="width:0;height:1.5pt" o:hralign="center" o:hrstd="t" o:hr="t"/>
        </w:pict>
      </w:r>
    </w:p>
    <w:p>
      <w:pPr>
        <w:pStyle w:val="FirstParagraph"/>
      </w:pPr>
      <w:r>
        <w:rPr>
          <w:b/>
          <w:bCs/>
        </w:rPr>
        <w:t xml:space="preserve">Primary Claim:</w:t>
      </w:r>
      <w:r>
        <w:t xml:space="preserve"> </w:t>
      </w:r>
      <w:r>
        <w:t xml:space="preserve">The gospel is not one element among many in Christian ministry — it is the whole substance to be guarded and stewarded, displayed most vividly in God’s mercy toward the most undeserving, and it alone is sufficient to produce the faith, love, and clear conscience that false doctrine systematically destroys.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false teaching (vv. 3–7):</w:t>
      </w:r>
      <w:r>
        <w:t xml:space="preserve"> </w:t>
      </w:r>
      <w:r>
        <w:t xml:space="preserve">The precise nature of the</w:t>
      </w:r>
      <w:r>
        <w:t xml:space="preserve"> </w:t>
      </w:r>
      <w:r>
        <w:t xml:space="preserve">“myths and endless genealogies”</w:t>
      </w:r>
      <w:r>
        <w:t xml:space="preserve"> </w:t>
      </w:r>
      <w:r>
        <w:t xml:space="preserve">has generated significant discussion. Some Dispensational interpreters have read this as a reference to incipient Gnosticism or a proto-Gnostic speculative cosmology. Others, particularly those attentive to the Jewish elements in the Pastoral Epistles, read it as Jewish-Christian speculation about genealogical-legal matters connected to the Torah — a reading supported by verse 7’s specific reference to</w:t>
      </w:r>
      <w:r>
        <w:t xml:space="preserve"> </w:t>
      </w:r>
      <w:r>
        <w:t xml:space="preserve">“teachers of the law”</w:t>
      </w:r>
      <w:r>
        <w:t xml:space="preserve"> </w:t>
      </w:r>
      <w:r>
        <w:t xml:space="preserve">and by Titus 1:14’s parallel reference to</w:t>
      </w:r>
      <w:r>
        <w:t xml:space="preserve"> </w:t>
      </w:r>
      <w:r>
        <w:t xml:space="preserve">“Jewish myths.”</w:t>
      </w:r>
      <w:r>
        <w:t xml:space="preserve"> </w:t>
      </w:r>
      <w:r>
        <w:t xml:space="preserve">The Reformed reading prefers the latter: the false teachers are engaged in speculative expansion of Jewish legal traditions, not Greek philosophical dualism. The text’s own evidence (v. 7; Tit 1:14; 3:9) supports this without remainder. The homiletical implication is significant: the danger is not paganism but religion gone wrong — the law used speculatively and presumptuously rather than lawfully.</w:t>
      </w:r>
    </w:p>
    <w:p>
      <w:pPr>
        <w:pStyle w:val="BodyText"/>
      </w:pPr>
      <w:r>
        <w:rPr>
          <w:b/>
          <w:bCs/>
        </w:rPr>
        <w:t xml:space="preserve">The law’s proper use (vv. 8–11):</w:t>
      </w:r>
      <w:r>
        <w:t xml:space="preserve"> </w:t>
      </w:r>
      <w:r>
        <w:t xml:space="preserve">Lutheran interpreters have pressed these verses most forcefully in support of the</w:t>
      </w:r>
      <w:r>
        <w:t xml:space="preserve"> </w:t>
      </w:r>
      <w:r>
        <w:rPr>
          <w:i/>
          <w:iCs/>
        </w:rPr>
        <w:t xml:space="preserve">usus elenchticus</w:t>
      </w:r>
      <w:r>
        <w:t xml:space="preserve"> </w:t>
      </w:r>
      <w:r>
        <w:t xml:space="preserve">(the law’s accusing, convicting use) and have sometimes read them as endorsing a strict Law/Gospel alternation in preaching. Reformed interpreters</w:t>
      </w:r>
      <w:r>
        <w:t xml:space="preserve"> </w:t>
      </w:r>
      <w:r>
        <w:rPr>
          <w:i/>
          <w:iCs/>
        </w:rPr>
        <w:t xml:space="preserve">acknowledge</w:t>
      </w:r>
      <w:r>
        <w:t xml:space="preserve"> </w:t>
      </w:r>
      <w:r>
        <w:t xml:space="preserve">this application: verses 8–11 do establish the law’s convicting function and its proper objects. However, Reformed theology</w:t>
      </w:r>
      <w:r>
        <w:t xml:space="preserve"> </w:t>
      </w:r>
      <w:r>
        <w:rPr>
          <w:i/>
          <w:iCs/>
        </w:rPr>
        <w:t xml:space="preserve">qualifies</w:t>
      </w:r>
      <w:r>
        <w:t xml:space="preserve"> </w:t>
      </w:r>
      <w:r>
        <w:t xml:space="preserve">the Lutheran use of this passage: verse 8 (</w:t>
      </w:r>
      <w:r>
        <w:t xml:space="preserve">“the law is good, if one uses it lawfully”</w:t>
      </w:r>
      <w:r>
        <w:t xml:space="preserve">) does not collapse the law into its convicting use alone — it establishes the proper use question itself. The Reformed tradition’s three uses of the law (pedagogical, civil, normative) all remain intact. The text here is specifically addressing</w:t>
      </w:r>
      <w:r>
        <w:t xml:space="preserve"> </w:t>
      </w:r>
      <w:r>
        <w:rPr>
          <w:i/>
          <w:iCs/>
        </w:rPr>
        <w:t xml:space="preserve">misuse</w:t>
      </w:r>
      <w:r>
        <w:t xml:space="preserve"> </w:t>
      </w:r>
      <w:r>
        <w:t xml:space="preserve">of the law (speculative genealogical application) and contrasting it with the law’s legitimate convicting function — but this does not eliminate the law’s third use, which is addressed elsewhere in Paul and the Pastorals. The Reformed reading is preferred as more architecturally complete: it takes the passage’s specific polemical context seriously without over-generalizing to a principle that flattens law and gospel into a simple alternating sequence.</w:t>
      </w:r>
    </w:p>
    <w:p>
      <w:pPr>
        <w:pStyle w:val="BodyText"/>
      </w:pPr>
      <w:r>
        <w:rPr>
          <w:b/>
          <w:bCs/>
        </w:rPr>
        <w:t xml:space="preserve">Paul as</w:t>
      </w:r>
      <w:r>
        <w:rPr>
          <w:b/>
          <w:bCs/>
        </w:rPr>
        <w:t xml:space="preserve"> </w:t>
      </w:r>
      <w:r>
        <w:rPr>
          <w:b/>
          <w:bCs/>
        </w:rPr>
        <w:t xml:space="preserve">“foremost of sinners”</w:t>
      </w:r>
      <w:r>
        <w:rPr>
          <w:b/>
          <w:bCs/>
        </w:rPr>
        <w:t xml:space="preserve"> </w:t>
      </w:r>
      <w:r>
        <w:rPr>
          <w:b/>
          <w:bCs/>
        </w:rPr>
        <w:t xml:space="preserve">(v. 15):</w:t>
      </w:r>
      <w:r>
        <w:t xml:space="preserve"> </w:t>
      </w:r>
      <w:r>
        <w:t xml:space="preserve">Some Arminian and Wesleyan interpreters have read this verse as Paul’s pre-conversion self-description only — a statement about who he was, not who he is. This reading is motivated in part by Wesleyan theology’s concern for entire sanctification and its discomfort with a leading apostle claiming present-tense sinnership. However, the grammar of verse 15 does not clearly support this restriction, and the rhetorical logic of verses 15–16 depends on Paul functioning as an ongoing</w:t>
      </w:r>
      <w:r>
        <w:t xml:space="preserve"> </w:t>
      </w:r>
      <w:r>
        <w:rPr>
          <w:i/>
          <w:iCs/>
        </w:rPr>
        <w:t xml:space="preserve">paradigm case</w:t>
      </w:r>
      <w:r>
        <w:t xml:space="preserve"> </w:t>
      </w:r>
      <w:r>
        <w:t xml:space="preserve">—</w:t>
      </w:r>
      <w:r>
        <w:t xml:space="preserve"> </w:t>
      </w:r>
      <w:r>
        <w:t xml:space="preserve">“the foremost example”</w:t>
      </w:r>
      <w:r>
        <w:t xml:space="preserve"> </w:t>
      </w:r>
      <w:r>
        <w:t xml:space="preserve">for those who would believe. If Paul’s sinnership is purely historical, the paradigmatic function weakens considerably. The Reformed reading is preferred: Paul’s use of present tense (</w:t>
      </w:r>
      <w:r>
        <w:t xml:space="preserve">“I am”</w:t>
      </w:r>
      <w:r>
        <w:t xml:space="preserve">) is a permanent self-identification grounded in the objective reality of what he was and what grace did — he is not claiming ongoing blasphemy but claiming that the category</w:t>
      </w:r>
      <w:r>
        <w:t xml:space="preserve"> </w:t>
      </w:r>
      <w:r>
        <w:t xml:space="preserve">“worst of sinners saved by mercy”</w:t>
      </w:r>
      <w:r>
        <w:t xml:space="preserve"> </w:t>
      </w:r>
      <w:r>
        <w:t xml:space="preserve">is his permanent identity and the ground of his usefulness as an example. This reading coheres with Romans 7’s analogous present-tense self-identification and with the humility principle operative throughout the Pastorals.</w:t>
      </w:r>
    </w:p>
    <w:p>
      <w:pPr>
        <w:pStyle w:val="BodyText"/>
      </w:pPr>
      <w:r>
        <w:rPr>
          <w:b/>
          <w:bCs/>
        </w:rPr>
        <w:t xml:space="preserve">“Wage the good warfare”</w:t>
      </w:r>
      <w:r>
        <w:rPr>
          <w:b/>
          <w:bCs/>
        </w:rPr>
        <w:t xml:space="preserve"> </w:t>
      </w:r>
      <w:r>
        <w:rPr>
          <w:b/>
          <w:bCs/>
        </w:rPr>
        <w:t xml:space="preserve">and the examples of Hymenaeus and Alexander (vv. 18–20):</w:t>
      </w:r>
      <w:r>
        <w:t xml:space="preserve"> </w:t>
      </w:r>
      <w:r>
        <w:t xml:space="preserve">Some within the broader evangelical tradition have read verse 20’s</w:t>
      </w:r>
      <w:r>
        <w:t xml:space="preserve"> </w:t>
      </w:r>
      <w:r>
        <w:t xml:space="preserve">“handed over to Satan”</w:t>
      </w:r>
      <w:r>
        <w:t xml:space="preserve"> </w:t>
      </w:r>
      <w:r>
        <w:t xml:space="preserve">as a reference to church discipline with a restorative intent only — analogous to 1 Corinthians 5:5 — and have pressed this toward a soft reading of the warning. The Reformed reading</w:t>
      </w:r>
      <w:r>
        <w:t xml:space="preserve"> </w:t>
      </w:r>
      <w:r>
        <w:rPr>
          <w:i/>
          <w:iCs/>
        </w:rPr>
        <w:t xml:space="preserve">acknowledges</w:t>
      </w:r>
      <w:r>
        <w:t xml:space="preserve"> </w:t>
      </w:r>
      <w:r>
        <w:t xml:space="preserve">the restorative dimension: the stated purpose in verse 20 is</w:t>
      </w:r>
      <w:r>
        <w:t xml:space="preserve"> </w:t>
      </w:r>
      <w:r>
        <w:t xml:space="preserve">“that they may learn not to blaspheme,”</w:t>
      </w:r>
      <w:r>
        <w:t xml:space="preserve"> </w:t>
      </w:r>
      <w:r>
        <w:t xml:space="preserve">which implies the possibility of repentance. However, this does not soften the severity of the warning’s</w:t>
      </w:r>
      <w:r>
        <w:t xml:space="preserve"> </w:t>
      </w:r>
      <w:r>
        <w:rPr>
          <w:i/>
          <w:iCs/>
        </w:rPr>
        <w:t xml:space="preserve">primary</w:t>
      </w:r>
      <w:r>
        <w:t xml:space="preserve"> </w:t>
      </w:r>
      <w:r>
        <w:t xml:space="preserve">function in context: Paul presents these men as negative examples of what happens when conscience is rejected — not merely as case studies in church discipline procedure. The warning governs Timothy’s charge, not merely the congregation’s disciplinary practice.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Romans 7:24–8:1</w:t>
      </w:r>
      <w:r>
        <w:t xml:space="preserve"> </w:t>
      </w:r>
      <w:r>
        <w:t xml:space="preserve">— Paul’s</w:t>
      </w:r>
      <w:r>
        <w:t xml:space="preserve"> </w:t>
      </w:r>
      <w:r>
        <w:t xml:space="preserve">“wretched man”</w:t>
      </w:r>
      <w:r>
        <w:t xml:space="preserve"> </w:t>
      </w:r>
      <w:r>
        <w:t xml:space="preserve">cry and immediate relief in</w:t>
      </w:r>
      <w:r>
        <w:t xml:space="preserve"> </w:t>
      </w:r>
      <w:r>
        <w:t xml:space="preserve">“no condemnation”</w:t>
      </w:r>
      <w:r>
        <w:t xml:space="preserve"> </w:t>
      </w:r>
      <w:r>
        <w:t xml:space="preserve">provides the closest Pauline parallel to 1 Timothy 1:15–16’s logic: the deepest acknowledgment of sinnership is the ground, not the obstacle, of gospel confidence.</w:t>
      </w:r>
    </w:p>
    <w:p>
      <w:pPr>
        <w:pStyle w:val="Compact"/>
        <w:numPr>
          <w:ilvl w:val="0"/>
          <w:numId w:val="1001"/>
        </w:numPr>
      </w:pPr>
      <w:r>
        <w:rPr>
          <w:b/>
          <w:bCs/>
        </w:rPr>
        <w:t xml:space="preserve">Acts 9:1–19</w:t>
      </w:r>
      <w:r>
        <w:t xml:space="preserve"> </w:t>
      </w:r>
      <w:r>
        <w:t xml:space="preserve">(Paul’s conversion account) — The historical backstory to 1 Timothy 1:13–16; establishes the factual basis for Paul’s</w:t>
      </w:r>
      <w:r>
        <w:t xml:space="preserve"> </w:t>
      </w:r>
      <w:r>
        <w:t xml:space="preserve">“blasphemer, persecutor, man of violence”</w:t>
      </w:r>
      <w:r>
        <w:t xml:space="preserve"> </w:t>
      </w:r>
      <w:r>
        <w:t xml:space="preserve">self-description and grounds the autobiographical testimony in verifiable redemptive history.</w:t>
      </w:r>
    </w:p>
    <w:p>
      <w:pPr>
        <w:pStyle w:val="Compact"/>
        <w:numPr>
          <w:ilvl w:val="0"/>
          <w:numId w:val="1001"/>
        </w:numPr>
      </w:pPr>
      <w:r>
        <w:rPr>
          <w:b/>
          <w:bCs/>
        </w:rPr>
        <w:t xml:space="preserve">Galatians 1:11–16</w:t>
      </w:r>
      <w:r>
        <w:t xml:space="preserve"> </w:t>
      </w:r>
      <w:r>
        <w:t xml:space="preserve">— Paul’s parallel autobiographical account of his pre-conversion violence and his reception of grace by revelation; reinforces that his conversion is not incidental biography but gospel paradigm.</w:t>
      </w:r>
    </w:p>
    <w:p>
      <w:pPr>
        <w:pStyle w:val="Compact"/>
        <w:numPr>
          <w:ilvl w:val="0"/>
          <w:numId w:val="1001"/>
        </w:numPr>
      </w:pPr>
      <w:r>
        <w:rPr>
          <w:b/>
          <w:bCs/>
        </w:rPr>
        <w:t xml:space="preserve">2 Timothy 1:13–14</w:t>
      </w:r>
      <w:r>
        <w:t xml:space="preserve"> </w:t>
      </w:r>
      <w:r>
        <w:t xml:space="preserve">—</w:t>
      </w:r>
      <w:r>
        <w:t xml:space="preserve"> </w:t>
      </w:r>
      <w:r>
        <w:t xml:space="preserve">“Guard the good deposit entrusted to you”</w:t>
      </w:r>
      <w:r>
        <w:t xml:space="preserve"> </w:t>
      </w:r>
      <w:r>
        <w:t xml:space="preserve">— the closest thematic parallel in the Pastoral corpus to 1 Timothy 1’s charge to guard sound doctrine; together these passages frame the entire Pastoral project as faithful stewardship of the gospel.</w:t>
      </w:r>
    </w:p>
    <w:p>
      <w:pPr>
        <w:pStyle w:val="Compact"/>
        <w:numPr>
          <w:ilvl w:val="0"/>
          <w:numId w:val="1001"/>
        </w:numPr>
      </w:pPr>
      <w:r>
        <w:rPr>
          <w:b/>
          <w:bCs/>
        </w:rPr>
        <w:t xml:space="preserve">Jude 3</w:t>
      </w:r>
      <w:r>
        <w:t xml:space="preserve"> </w:t>
      </w:r>
      <w:r>
        <w:t xml:space="preserve">—</w:t>
      </w:r>
      <w:r>
        <w:t xml:space="preserve"> </w:t>
      </w:r>
      <w:r>
        <w:t xml:space="preserve">“Contend earnestly for the faith once for all delivered to the saints”</w:t>
      </w:r>
      <w:r>
        <w:t xml:space="preserve"> </w:t>
      </w:r>
      <w:r>
        <w:t xml:space="preserve">— the broader canonical call to defend the gospel deposit against distortion; confirms that 1 Timothy 1’s local charge to Timothy is representative of the universal pastoral task.</w:t>
      </w:r>
    </w:p>
    <w:p>
      <w:r>
        <w:pict>
          <v:rect style="width:0;height:1.5pt" o:hralign="center" o:hrstd="t" o:hr="t"/>
        </w:pict>
      </w:r>
    </w:p>
    <w:p>
      <w:pPr>
        <w:pStyle w:val="FirstParagraph"/>
      </w:pPr>
      <w:r>
        <w:rPr>
          <w:b/>
          <w:bCs/>
        </w:rPr>
        <w:t xml:space="preserve">Aim:</w:t>
      </w:r>
      <w:r>
        <w:t xml:space="preserve"> </w:t>
      </w:r>
      <w:r>
        <w:t xml:space="preserve">To establish that the gospel of grace — not doctrinal speculation, legal performance, or experiential supplement — is the whole substance of Christian ministry, and that God’s mercy toward the worst of sinners is both the proof and the power of that gospel’s sufficiency.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Salutation: Paul, apostle by command of God and Christ; to Timothy,</w:t>
            </w:r>
            <w:r>
              <w:t xml:space="preserve"> </w:t>
            </w:r>
            <w:r>
              <w:t xml:space="preserve">“true child in the faith”</w:t>
            </w:r>
            <w:r>
              <w:t xml:space="preserve">; grace, mercy, peace</w:t>
            </w:r>
          </w:p>
        </w:tc>
        <w:tc>
          <w:tcPr/>
          <w:p>
            <w:pPr>
              <w:pStyle w:val="Compact"/>
            </w:pPr>
            <w:r>
              <w:t xml:space="preserve">“Mercy”</w:t>
            </w:r>
            <w:r>
              <w:t xml:space="preserve"> </w:t>
            </w:r>
            <w:r>
              <w:t xml:space="preserve">added to Paul’s usual</w:t>
            </w:r>
            <w:r>
              <w:t xml:space="preserve"> </w:t>
            </w:r>
            <w:r>
              <w:t xml:space="preserve">“grace and peace”</w:t>
            </w:r>
            <w:r>
              <w:t xml:space="preserve"> </w:t>
            </w:r>
            <w:r>
              <w:t xml:space="preserve">— distinctive in Pastorals; signals pastoral tone</w:t>
            </w:r>
          </w:p>
        </w:tc>
      </w:tr>
      <w:tr>
        <w:tc>
          <w:tcPr/>
          <w:p>
            <w:pPr>
              <w:pStyle w:val="Compact"/>
            </w:pPr>
            <w:r>
              <w:t xml:space="preserve">3–4</w:t>
            </w:r>
          </w:p>
        </w:tc>
        <w:tc>
          <w:tcPr/>
          <w:p>
            <w:pPr>
              <w:pStyle w:val="Compact"/>
            </w:pPr>
            <w:r>
              <w:t xml:space="preserve">Charge to remain in Ephesus; command to prohibit false teachers from teaching myths and endless genealogies that produce speculation rather than stewardship by faith</w:t>
            </w:r>
          </w:p>
        </w:tc>
        <w:tc>
          <w:tcPr/>
          <w:p>
            <w:pPr>
              <w:pStyle w:val="Compact"/>
            </w:pPr>
            <w:r>
              <w:t xml:space="preserve">“Oikonomia”</w:t>
            </w:r>
            <w:r>
              <w:t xml:space="preserve"> </w:t>
            </w:r>
            <w:r>
              <w:t xml:space="preserve">(ESV:</w:t>
            </w:r>
            <w:r>
              <w:t xml:space="preserve"> </w:t>
            </w:r>
            <w:r>
              <w:t xml:space="preserve">“stewardship”</w:t>
            </w:r>
            <w:r>
              <w:t xml:space="preserve">) vs. </w:t>
            </w:r>
            <w:r>
              <w:t xml:space="preserve">“ekzētēsis”</w:t>
            </w:r>
            <w:r>
              <w:t xml:space="preserve"> </w:t>
            </w:r>
            <w:r>
              <w:t xml:space="preserve">(speculation/controversy) — the governing antithesis of vv. 3–11</w:t>
            </w:r>
          </w:p>
        </w:tc>
      </w:tr>
      <w:tr>
        <w:tc>
          <w:tcPr/>
          <w:p>
            <w:pPr>
              <w:pStyle w:val="Compact"/>
            </w:pPr>
            <w:r>
              <w:t xml:space="preserve">5</w:t>
            </w:r>
          </w:p>
        </w:tc>
        <w:tc>
          <w:tcPr/>
          <w:p>
            <w:pPr>
              <w:pStyle w:val="Compact"/>
            </w:pPr>
            <w:r>
              <w:t xml:space="preserve">The aim of the charge: love from pure heart, good conscience, and sincere faith</w:t>
            </w:r>
          </w:p>
        </w:tc>
        <w:tc>
          <w:tcPr/>
          <w:p>
            <w:pPr>
              <w:pStyle w:val="Compact"/>
            </w:pPr>
            <w:r>
              <w:t xml:space="preserve">The positive goal of gospel ministry — these three will be destroyed by false teaching (v. 19)</w:t>
            </w:r>
          </w:p>
        </w:tc>
      </w:tr>
      <w:tr>
        <w:tc>
          <w:tcPr/>
          <w:p>
            <w:pPr>
              <w:pStyle w:val="Compact"/>
            </w:pPr>
            <w:r>
              <w:t xml:space="preserve">6–7</w:t>
            </w:r>
          </w:p>
        </w:tc>
        <w:tc>
          <w:tcPr/>
          <w:p>
            <w:pPr>
              <w:pStyle w:val="Compact"/>
            </w:pPr>
            <w:r>
              <w:t xml:space="preserve">Some have wandered from these and turned to</w:t>
            </w:r>
            <w:r>
              <w:t xml:space="preserve"> </w:t>
            </w:r>
            <w:r>
              <w:t xml:space="preserve">“vain discussion,”</w:t>
            </w:r>
            <w:r>
              <w:t xml:space="preserve"> </w:t>
            </w:r>
            <w:r>
              <w:t xml:space="preserve">wanting to be law-teachers without understanding what they say</w:t>
            </w:r>
          </w:p>
        </w:tc>
        <w:tc>
          <w:tcPr/>
          <w:p>
            <w:pPr>
              <w:pStyle w:val="Compact"/>
            </w:pPr>
            <w:r>
              <w:t xml:space="preserve">“Vain discussion”</w:t>
            </w:r>
            <w:r>
              <w:t xml:space="preserve"> </w:t>
            </w:r>
            <w:r>
              <w:t xml:space="preserve">(mataiologia) — empty, purposeless talk; the false teachers’ confident ignorance</w:t>
            </w:r>
          </w:p>
        </w:tc>
      </w:tr>
      <w:tr>
        <w:tc>
          <w:tcPr/>
          <w:p>
            <w:pPr>
              <w:pStyle w:val="Compact"/>
            </w:pPr>
            <w:r>
              <w:t xml:space="preserve">8–10</w:t>
            </w:r>
          </w:p>
        </w:tc>
        <w:tc>
          <w:tcPr/>
          <w:p>
            <w:pPr>
              <w:pStyle w:val="Compact"/>
            </w:pPr>
            <w:r>
              <w:t xml:space="preserve">The law is good if used lawfully; it is not for the righteous but for the lawless and disobedient — a list of sins corresponding to the Ten Commandments</w:t>
            </w:r>
          </w:p>
        </w:tc>
        <w:tc>
          <w:tcPr/>
          <w:p>
            <w:pPr>
              <w:pStyle w:val="Compact"/>
            </w:pPr>
            <w:r>
              <w:t xml:space="preserve">Paul is not abolishing the law but establishing its proper domain and function; the list mirrors Decalogue order</w:t>
            </w:r>
          </w:p>
        </w:tc>
      </w:tr>
      <w:tr>
        <w:tc>
          <w:tcPr/>
          <w:p>
            <w:pPr>
              <w:pStyle w:val="Compact"/>
            </w:pPr>
            <w:r>
              <w:t xml:space="preserve">11</w:t>
            </w:r>
          </w:p>
        </w:tc>
        <w:tc>
          <w:tcPr/>
          <w:p>
            <w:pPr>
              <w:pStyle w:val="Compact"/>
            </w:pPr>
            <w:r>
              <w:t xml:space="preserve">The law’s convicting function corresponds to</w:t>
            </w:r>
            <w:r>
              <w:t xml:space="preserve"> </w:t>
            </w:r>
            <w:r>
              <w:t xml:space="preserve">“sound doctrine”</w:t>
            </w:r>
            <w:r>
              <w:t xml:space="preserve"> </w:t>
            </w:r>
            <w:r>
              <w:t xml:space="preserve">that conforms to</w:t>
            </w:r>
            <w:r>
              <w:t xml:space="preserve"> </w:t>
            </w:r>
            <w:r>
              <w:t xml:space="preserve">“the gospel of the glory of the blessed God, with which I have been entrusted”</w:t>
            </w:r>
          </w:p>
        </w:tc>
        <w:tc>
          <w:tcPr/>
          <w:p>
            <w:pPr>
              <w:pStyle w:val="Compact"/>
            </w:pPr>
            <w:r>
              <w:t xml:space="preserve">“Sound doctrine”</w:t>
            </w:r>
            <w:r>
              <w:t xml:space="preserve"> </w:t>
            </w:r>
            <w:r>
              <w:t xml:space="preserve">(hygiainousē didaskalia) — literally</w:t>
            </w:r>
            <w:r>
              <w:t xml:space="preserve"> </w:t>
            </w:r>
            <w:r>
              <w:t xml:space="preserve">“healthy teaching”</w:t>
            </w:r>
            <w:r>
              <w:t xml:space="preserve">; the medical metaphor signals that false doctrine is a disease</w:t>
            </w:r>
          </w:p>
        </w:tc>
      </w:tr>
      <w:tr>
        <w:tc>
          <w:tcPr/>
          <w:p>
            <w:pPr>
              <w:pStyle w:val="Compact"/>
            </w:pPr>
            <w:r>
              <w:t xml:space="preserve">12–13</w:t>
            </w:r>
          </w:p>
        </w:tc>
        <w:tc>
          <w:tcPr/>
          <w:p>
            <w:pPr>
              <w:pStyle w:val="Compact"/>
            </w:pPr>
            <w:r>
              <w:t xml:space="preserve">Paul’s thanksgiving: Christ judged him faithful and appointed him to service, though he was a blasphemer, persecutor, and man of violence — he received mercy because he acted in ignorance and unbelief</w:t>
            </w:r>
          </w:p>
        </w:tc>
        <w:tc>
          <w:tcPr/>
          <w:p>
            <w:pPr>
              <w:pStyle w:val="Compact"/>
            </w:pPr>
            <w:r>
              <w:t xml:space="preserve">The autobiographical turn is doxological, not merely illustrative</w:t>
            </w:r>
          </w:p>
        </w:tc>
      </w:tr>
      <w:tr>
        <w:tc>
          <w:tcPr/>
          <w:p>
            <w:pPr>
              <w:pStyle w:val="Compact"/>
            </w:pPr>
            <w:r>
              <w:t xml:space="preserve">14</w:t>
            </w:r>
          </w:p>
        </w:tc>
        <w:tc>
          <w:tcPr/>
          <w:p>
            <w:pPr>
              <w:pStyle w:val="Compact"/>
            </w:pPr>
            <w:r>
              <w:t xml:space="preserve">The grace of our Lord overflowed with faith and love that are in Christ Jesus</w:t>
            </w:r>
          </w:p>
        </w:tc>
        <w:tc>
          <w:tcPr/>
          <w:p>
            <w:pPr>
              <w:pStyle w:val="Compact"/>
            </w:pPr>
            <w:r>
              <w:t xml:space="preserve">“Overflowed”</w:t>
            </w:r>
            <w:r>
              <w:t xml:space="preserve"> </w:t>
            </w:r>
            <w:r>
              <w:t xml:space="preserve">(hyperepleonasen) — superabounded; grace does not merely match the need, it exceeds it</w:t>
            </w:r>
          </w:p>
        </w:tc>
      </w:tr>
      <w:tr>
        <w:tc>
          <w:tcPr/>
          <w:p>
            <w:pPr>
              <w:pStyle w:val="Compact"/>
            </w:pPr>
            <w:r>
              <w:t xml:space="preserve">15</w:t>
            </w:r>
          </w:p>
        </w:tc>
        <w:tc>
          <w:tcPr/>
          <w:p>
            <w:pPr>
              <w:pStyle w:val="Compact"/>
            </w:pPr>
            <w:r>
              <w:t xml:space="preserve">The</w:t>
            </w:r>
            <w:r>
              <w:t xml:space="preserve"> </w:t>
            </w:r>
            <w:r>
              <w:t xml:space="preserve">“trustworthy saying”</w:t>
            </w:r>
            <w:r>
              <w:t xml:space="preserve">: Christ Jesus came into the world to save sinners, of whom Paul is the foremost</w:t>
            </w:r>
          </w:p>
        </w:tc>
        <w:tc>
          <w:tcPr/>
          <w:p>
            <w:pPr>
              <w:pStyle w:val="Compact"/>
            </w:pPr>
            <w:r>
              <w:t xml:space="preserve">One of five</w:t>
            </w:r>
            <w:r>
              <w:t xml:space="preserve"> </w:t>
            </w:r>
            <w:r>
              <w:t xml:space="preserve">“trustworthy sayings”</w:t>
            </w:r>
            <w:r>
              <w:t xml:space="preserve"> </w:t>
            </w:r>
            <w:r>
              <w:t xml:space="preserve">in the Pastoral Epistles; functions as a credal affirmation</w:t>
            </w:r>
          </w:p>
        </w:tc>
      </w:tr>
      <w:tr>
        <w:tc>
          <w:tcPr/>
          <w:p>
            <w:pPr>
              <w:pStyle w:val="Compact"/>
            </w:pPr>
            <w:r>
              <w:t xml:space="preserve">16</w:t>
            </w:r>
          </w:p>
        </w:tc>
        <w:tc>
          <w:tcPr/>
          <w:p>
            <w:pPr>
              <w:pStyle w:val="Compact"/>
            </w:pPr>
            <w:r>
              <w:t xml:space="preserve">Paul received mercy so that in him, as the foremost, Christ might display His perfect patience — making Paul an example for all who would believe</w:t>
            </w:r>
          </w:p>
        </w:tc>
        <w:tc>
          <w:tcPr/>
          <w:p>
            <w:pPr>
              <w:pStyle w:val="Compact"/>
            </w:pPr>
            <w:r>
              <w:t xml:space="preserve">The paradigmatic function: Paul’s conversion is not biography but display of divine patience and saving power</w:t>
            </w:r>
          </w:p>
        </w:tc>
      </w:tr>
      <w:tr>
        <w:tc>
          <w:tcPr/>
          <w:p>
            <w:pPr>
              <w:pStyle w:val="Compact"/>
            </w:pPr>
            <w:r>
              <w:t xml:space="preserve">17</w:t>
            </w:r>
          </w:p>
        </w:tc>
        <w:tc>
          <w:tcPr/>
          <w:p>
            <w:pPr>
              <w:pStyle w:val="Compact"/>
            </w:pPr>
            <w:r>
              <w:t xml:space="preserve">Spontaneous doxology:</w:t>
            </w:r>
            <w:r>
              <w:t xml:space="preserve"> </w:t>
            </w:r>
            <w:r>
              <w:t xml:space="preserve">“To the King of ages, immortal, invisible, the only God, be honor and glory forever and ever. Amen.”</w:t>
            </w:r>
          </w:p>
        </w:tc>
        <w:tc>
          <w:tcPr/>
          <w:p>
            <w:pPr>
              <w:pStyle w:val="Compact"/>
            </w:pPr>
            <w:r>
              <w:t xml:space="preserve">Theological apex of the chapter; flows from vv. 15–16; doxology is the proper response to gospel meditation</w:t>
            </w:r>
          </w:p>
        </w:tc>
      </w:tr>
      <w:tr>
        <w:tc>
          <w:tcPr/>
          <w:p>
            <w:pPr>
              <w:pStyle w:val="Compact"/>
            </w:pPr>
            <w:r>
              <w:t xml:space="preserve">18–19a</w:t>
            </w:r>
          </w:p>
        </w:tc>
        <w:tc>
          <w:tcPr/>
          <w:p>
            <w:pPr>
              <w:pStyle w:val="Compact"/>
            </w:pPr>
            <w:r>
              <w:t xml:space="preserve">Charge to Timothy: wage the good warfare, holding to faith and good conscience</w:t>
            </w:r>
          </w:p>
        </w:tc>
        <w:tc>
          <w:tcPr/>
          <w:p>
            <w:pPr>
              <w:pStyle w:val="Compact"/>
            </w:pPr>
            <w:r>
              <w:t xml:space="preserve">“Prophecies previously made about you”</w:t>
            </w:r>
            <w:r>
              <w:t xml:space="preserve"> </w:t>
            </w:r>
            <w:r>
              <w:t xml:space="preserve">— likely Timothy’s ordination; connects Timothy’s calling to the prophetic tradition</w:t>
            </w:r>
          </w:p>
        </w:tc>
      </w:tr>
      <w:tr>
        <w:tc>
          <w:tcPr/>
          <w:p>
            <w:pPr>
              <w:pStyle w:val="Compact"/>
            </w:pPr>
            <w:r>
              <w:t xml:space="preserve">19b–20</w:t>
            </w:r>
          </w:p>
        </w:tc>
        <w:tc>
          <w:tcPr/>
          <w:p>
            <w:pPr>
              <w:pStyle w:val="Compact"/>
            </w:pPr>
            <w:r>
              <w:t xml:space="preserve">Warning: Hymenaeus and Alexander rejected conscience and made shipwreck of their faith; Paul handed them over to Satan that they might learn not to blaspheme</w:t>
            </w:r>
          </w:p>
        </w:tc>
        <w:tc>
          <w:tcPr/>
          <w:p>
            <w:pPr>
              <w:pStyle w:val="Compact"/>
            </w:pPr>
            <w:r>
              <w:t xml:space="preserve">Negative paradigm corresponding to Paul’s positive paradigm; rejecting conscience is the entry point of apostasy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Salutation: Apostolic Authority and Pastoral Relationship</w:t>
            </w:r>
          </w:p>
        </w:tc>
      </w:tr>
      <w:tr>
        <w:tc>
          <w:tcPr/>
          <w:p>
            <w:pPr>
              <w:pStyle w:val="Compact"/>
            </w:pPr>
            <w:r>
              <w:t xml:space="preserve">2</w:t>
            </w:r>
          </w:p>
        </w:tc>
        <w:tc>
          <w:tcPr/>
          <w:p>
            <w:pPr>
              <w:pStyle w:val="Compact"/>
            </w:pPr>
            <w:r>
              <w:t xml:space="preserve">3–11</w:t>
            </w:r>
          </w:p>
        </w:tc>
        <w:tc>
          <w:tcPr/>
          <w:p>
            <w:pPr>
              <w:pStyle w:val="Compact"/>
            </w:pPr>
            <w:r>
              <w:t xml:space="preserve">The Charge Defined: Sound Doctrine against Speculative Distortion</w:t>
            </w:r>
          </w:p>
        </w:tc>
      </w:tr>
      <w:tr>
        <w:tc>
          <w:tcPr/>
          <w:p>
            <w:pPr>
              <w:pStyle w:val="Compact"/>
            </w:pPr>
            <w:r>
              <w:t xml:space="preserve">3</w:t>
            </w:r>
          </w:p>
        </w:tc>
        <w:tc>
          <w:tcPr/>
          <w:p>
            <w:pPr>
              <w:pStyle w:val="Compact"/>
            </w:pPr>
            <w:r>
              <w:t xml:space="preserve">12–17</w:t>
            </w:r>
          </w:p>
        </w:tc>
        <w:tc>
          <w:tcPr/>
          <w:p>
            <w:pPr>
              <w:pStyle w:val="Compact"/>
            </w:pPr>
            <w:r>
              <w:t xml:space="preserve">The Gospel Demonstrated: Grace to the Foremost of Sinners</w:t>
            </w:r>
          </w:p>
        </w:tc>
      </w:tr>
      <w:tr>
        <w:tc>
          <w:tcPr/>
          <w:p>
            <w:pPr>
              <w:pStyle w:val="Compact"/>
            </w:pPr>
            <w:r>
              <w:t xml:space="preserve">4</w:t>
            </w:r>
          </w:p>
        </w:tc>
        <w:tc>
          <w:tcPr/>
          <w:p>
            <w:pPr>
              <w:pStyle w:val="Compact"/>
            </w:pPr>
            <w:r>
              <w:t xml:space="preserve">18–20</w:t>
            </w:r>
          </w:p>
        </w:tc>
        <w:tc>
          <w:tcPr/>
          <w:p>
            <w:pPr>
              <w:pStyle w:val="Compact"/>
            </w:pPr>
            <w:r>
              <w:t xml:space="preserve">The Charge Delivered: Wage the Good Warfare, Guard the Conscience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 grounds Timothy’s charge to guard sound doctrine in the gospel of grace that saved even the worst of sinners.</w:t>
      </w:r>
    </w:p>
    <w:p>
      <w:pPr>
        <w:pStyle w:val="BodyText"/>
      </w:pPr>
      <w:r>
        <w:rPr>
          <w:b/>
          <w:bCs/>
        </w:rPr>
        <w:t xml:space="preserve">Primary Claim:</w:t>
      </w:r>
      <w:r>
        <w:t xml:space="preserve"> </w:t>
      </w:r>
      <w:r>
        <w:t xml:space="preserve">The gospel is not one element among many in Christian ministry — it is the whole substance to be guarded and stewarded, displayed most vividly in God’s mercy toward the most undeserving, and it alone is sufficient to produce the faith, love, and clear conscience that false doctrine systematically destroys.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purpose of all sound doctrine is love from a pure heart, a good conscience, and sincere faith (v. 5) — and every ministry, sermon, small group, curriculum, or doctrinal statement should be evaluated by whether it is producing these three outcomes or their opposites. If your engagement with Christian teaching is producing more argument, more sophisticated controversy, and more confidence in your own theological positioning rather than deeper love and cleaner conscience, you are using doctrine the way Ephesus’s false teachers used the law — presumptuously and for self-display.</w:t>
      </w:r>
    </w:p>
    <w:p>
      <w:pPr>
        <w:pStyle w:val="BodyText"/>
      </w:pPr>
      <w:r>
        <w:rPr>
          <w:b/>
          <w:bCs/>
        </w:rPr>
        <w:t xml:space="preserve">2.</w:t>
      </w:r>
      <w:r>
        <w:t xml:space="preserve"> </w:t>
      </w:r>
      <w:r>
        <w:t xml:space="preserve">The law does its proper work only when it confronts you as someone in the list of verses 9–10 — lawless, disobedient, ungodly, sinners — not as someone who stands above it managing its application for others. Sit under the law’s accusations long enough to need what comes in verse 15. The Ephesian false teachers failed not because they engaged the law but because they never let it land on themselves. You cannot preach grace you have not received, and you cannot receive grace you do not think you need.</w:t>
      </w:r>
    </w:p>
    <w:p>
      <w:pPr>
        <w:pStyle w:val="BodyText"/>
      </w:pPr>
      <w:r>
        <w:rPr>
          <w:b/>
          <w:bCs/>
        </w:rPr>
        <w:t xml:space="preserve">3.</w:t>
      </w:r>
      <w:r>
        <w:t xml:space="preserve"> </w:t>
      </w:r>
      <w:r>
        <w:t xml:space="preserve">The</w:t>
      </w:r>
      <w:r>
        <w:t xml:space="preserve"> </w:t>
      </w:r>
      <w:r>
        <w:t xml:space="preserve">“trustworthy saying”</w:t>
      </w:r>
      <w:r>
        <w:t xml:space="preserve"> </w:t>
      </w:r>
      <w:r>
        <w:t xml:space="preserve">of verse 15 —</w:t>
      </w:r>
      <w:r>
        <w:t xml:space="preserve"> </w:t>
      </w:r>
      <w:r>
        <w:t xml:space="preserve">“Christ Jesus came into the world to save sinners”</w:t>
      </w:r>
      <w:r>
        <w:t xml:space="preserve"> </w:t>
      </w:r>
      <w:r>
        <w:t xml:space="preserve">— is the statement around which your whole identity is organized, not a truth you affirm and move past. Paul does not say</w:t>
      </w:r>
      <w:r>
        <w:t xml:space="preserve"> </w:t>
      </w:r>
      <w:r>
        <w:t xml:space="preserve">“Christ saved me and now I am something other than what I was.”</w:t>
      </w:r>
      <w:r>
        <w:t xml:space="preserve"> </w:t>
      </w:r>
      <w:r>
        <w:t xml:space="preserve">He says</w:t>
      </w:r>
      <w:r>
        <w:t xml:space="preserve"> </w:t>
      </w:r>
      <w:r>
        <w:t xml:space="preserve">“I am the foremost.”</w:t>
      </w:r>
      <w:r>
        <w:t xml:space="preserve"> </w:t>
      </w:r>
      <w:r>
        <w:t xml:space="preserve">His permanent self-description is not</w:t>
      </w:r>
      <w:r>
        <w:t xml:space="preserve"> </w:t>
      </w:r>
      <w:r>
        <w:t xml:space="preserve">“apostle”</w:t>
      </w:r>
      <w:r>
        <w:t xml:space="preserve"> </w:t>
      </w:r>
      <w:r>
        <w:t xml:space="preserve">or</w:t>
      </w:r>
      <w:r>
        <w:t xml:space="preserve"> </w:t>
      </w:r>
      <w:r>
        <w:t xml:space="preserve">“theologian”</w:t>
      </w:r>
      <w:r>
        <w:t xml:space="preserve"> </w:t>
      </w:r>
      <w:r>
        <w:t xml:space="preserve">but</w:t>
      </w:r>
      <w:r>
        <w:t xml:space="preserve"> </w:t>
      </w:r>
      <w:r>
        <w:t xml:space="preserve">“saved sinner.”</w:t>
      </w:r>
      <w:r>
        <w:t xml:space="preserve"> </w:t>
      </w:r>
      <w:r>
        <w:t xml:space="preserve">Orient your self-understanding here. The person who most deeply knows what they were, and what grace did, is the person God can use as a paradigm — not the person who has left their sinnership behind as a past chapter.</w:t>
      </w:r>
    </w:p>
    <w:p>
      <w:pPr>
        <w:pStyle w:val="BodyText"/>
      </w:pPr>
      <w:r>
        <w:rPr>
          <w:b/>
          <w:bCs/>
        </w:rPr>
        <w:t xml:space="preserve">4.</w:t>
      </w:r>
      <w:r>
        <w:t xml:space="preserve"> </w:t>
      </w:r>
      <w:r>
        <w:t xml:space="preserve">Verse 17 is not decoration — it is the instruction. After meditating on God’s mercy to Paul the worst of sinners, Paul does not move to application. He erupts into worship. The response God is seeking from you in this passage is doxological before it is behavioral. Let the grace of God toward the undeserving produce in you what it produced in Paul: not a revised self-improvement program but an outburst of praise to the King of ages who saves the worst. If you have never been moved to spontaneous worship by thinking about what God did for you in your own worst moments, the gospel has not yet reached the depth it is designed to reach.</w:t>
      </w:r>
    </w:p>
    <w:p>
      <w:pPr>
        <w:pStyle w:val="BodyText"/>
      </w:pPr>
      <w:r>
        <w:rPr>
          <w:b/>
          <w:bCs/>
        </w:rPr>
        <w:t xml:space="preserve">5.</w:t>
      </w:r>
      <w:r>
        <w:t xml:space="preserve"> </w:t>
      </w:r>
      <w:r>
        <w:t xml:space="preserve">Verses 19–20 are a warning with a mechanism: Hymenaeus and Alexander did not begin by blaspheming — they began by rejecting conscience. The shipwreck of faith does not start at sea; it starts in port, when small violations of conscience are accommodated and the vessel’s navigational instruments are disabled. Guard your conscience not as a peripheral spiritual hygiene practice but as the instrument without which no faithful course can be maintained. The specific thing Timothy is being charged to hold is</w:t>
      </w:r>
      <w:r>
        <w:t xml:space="preserve"> </w:t>
      </w:r>
      <w:r>
        <w:t xml:space="preserve">“faith and a good conscience”</w:t>
      </w:r>
      <w:r>
        <w:t xml:space="preserve"> </w:t>
      </w:r>
      <w:r>
        <w:t xml:space="preserve">together — these are not separable.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Timothy 1 establishes the gospel as both the content and the criterion of all sound doctrine — it is not a starting point from which ministry moves on to other matters but the permanent center around which everything in ministry orbits. The passage teaches that God’s grace is not merely sufficient for ordinary sinners but is designed to be displayed precisely through mercy to the worst, so that no one who comes to Christ will doubt whether grace extends to their case. The law retains genuine theological dignity as a God-given instrument, but only when used for its proper purpose — confronting the lawless and disobedient — rather than as a vehicle for speculative prestige. And the passage teaches that false doctrine is not merely intellectually deficient but pastorally lethal: it destroys the very things — love, good conscience, sincere faith — that the gospel is designed to produce.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display of several Reformed doctrinal commitments working together in pastoral application. The total depravity of the human condition is not a theological abstraction here but a personal testimony: Paul as</w:t>
      </w:r>
      <w:r>
        <w:t xml:space="preserve"> </w:t>
      </w:r>
      <w:r>
        <w:t xml:space="preserve">“the foremost of sinners”</w:t>
      </w:r>
      <w:r>
        <w:t xml:space="preserve"> </w:t>
      </w:r>
      <w:r>
        <w:t xml:space="preserve">is the ground on which the sovereignty of grace is established. Grace did not find Paul slightly disadvantaged and improve him — it found him as a blasphemer and persecutor and overflowed beyond all measure (v. 14). The preservation of the saints is framed here not as a passive security but as the active stewardship of faith and a good conscience — with the negative examples of Hymenaeus and Alexander serving not to undermine perseverance but to show how professing believers who reject the instruments of perseverance drift into catastrophe. The passage also grounds Reformed ecclesiology’s commitment to confessional discipline:</w:t>
      </w:r>
      <w:r>
        <w:t xml:space="preserve"> </w:t>
      </w:r>
      <w:r>
        <w:t xml:space="preserve">“sound doctrine”</w:t>
      </w:r>
      <w:r>
        <w:t xml:space="preserve"> </w:t>
      </w:r>
      <w:r>
        <w:t xml:space="preserve">is not a preference but a deposit entrusted to faithful men (v. 11; cf. 2 Tim 1:14), and the church’s first duty is to guard it against distortion, not to seek a pluralistic accommodation of speculative alternatives.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of God’s mercy to the worst of sinners is not the front door of Christian ministry — it is the whole building. Paul does not move past his own conversion; he lives there, and from there he loves, leads, warns, and worships. Every drift from the gospel — toward speculation, toward law-prestige, toward conscience-dulling compromise — is not a minor detour but a navigation failure that ends in shipwreck. Guard the gospel. Steward it faithfully. Let it produce what it is designed to produce: love, clear conscience, and the kind of gratitude that breaks into doxology when you think about what God did for someone as undeserving as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false teaching section (vv. 3–7) as merely historical background rather than as a live diagnosis.</w:t>
      </w:r>
      <w:r>
        <w:t xml:space="preserve"> </w:t>
      </w:r>
      <w:r>
        <w:t xml:space="preserve">Every generation of the church has its version of</w:t>
      </w:r>
      <w:r>
        <w:t xml:space="preserve"> </w:t>
      </w:r>
      <w:r>
        <w:t xml:space="preserve">“myths and endless genealogies”</w:t>
      </w:r>
      <w:r>
        <w:t xml:space="preserve"> </w:t>
      </w:r>
      <w:r>
        <w:t xml:space="preserve">— speculative systems that generate controversy and self-display rather than love and good conscience. The preacher who treats Ephesian false teaching as a curiosity of the first century will miss the passage’s diagnostic force for contemporary ministry cultures that prize theological sophistication, spiritual speculation, or experiential novelty over faithful gospel stewardship.</w:t>
      </w:r>
    </w:p>
    <w:p>
      <w:pPr>
        <w:numPr>
          <w:ilvl w:val="0"/>
          <w:numId w:val="1002"/>
        </w:numPr>
      </w:pPr>
      <w:r>
        <w:rPr>
          <w:b/>
          <w:bCs/>
        </w:rPr>
        <w:t xml:space="preserve">Abstracting the law section (vv. 8–11) into a flat</w:t>
      </w:r>
      <w:r>
        <w:rPr>
          <w:b/>
          <w:bCs/>
        </w:rPr>
        <w:t xml:space="preserve"> </w:t>
      </w:r>
      <w:r>
        <w:rPr>
          <w:b/>
          <w:bCs/>
        </w:rPr>
        <w:t xml:space="preserve">“law is for bad people, not Christians”</w:t>
      </w:r>
      <w:r>
        <w:rPr>
          <w:b/>
          <w:bCs/>
        </w:rPr>
        <w:t xml:space="preserve"> </w:t>
      </w:r>
      <w:r>
        <w:rPr>
          <w:b/>
          <w:bCs/>
        </w:rPr>
        <w:t xml:space="preserve">principle.</w:t>
      </w:r>
      <w:r>
        <w:t xml:space="preserve"> </w:t>
      </w:r>
      <w:r>
        <w:t xml:space="preserve">This misreads both the context and the Reformed understanding of the law’s uses. Paul is not saying Christians have no relationship to the law — he is saying the law is misused when applied speculatively and presumptuously rather than lawfully. The preacher should let verses 8–11 do their confronting work (who in this room is in that list?) before moving to the relief of verse 15.</w:t>
      </w:r>
    </w:p>
    <w:p>
      <w:pPr>
        <w:numPr>
          <w:ilvl w:val="0"/>
          <w:numId w:val="1002"/>
        </w:numPr>
      </w:pPr>
      <w:r>
        <w:rPr>
          <w:b/>
          <w:bCs/>
        </w:rPr>
        <w:t xml:space="preserve">Turning Paul’s autobiographical testimony (vv. 12–17) into a simple encouragement illustration —</w:t>
      </w:r>
      <w:r>
        <w:rPr>
          <w:b/>
          <w:bCs/>
        </w:rPr>
        <w:t xml:space="preserve"> </w:t>
      </w:r>
      <w:r>
        <w:rPr>
          <w:b/>
          <w:bCs/>
        </w:rPr>
        <w:t xml:space="preserve">“God can use anyone!”</w:t>
      </w:r>
      <w:r>
        <w:t xml:space="preserve"> </w:t>
      </w:r>
      <w:r>
        <w:t xml:space="preserve">This domesticates the passage. Paul’s conversion is not presented as an inspiring story of personal transformation but as a deliberate divine display —</w:t>
      </w:r>
      <w:r>
        <w:t xml:space="preserve"> </w:t>
      </w:r>
      <w:r>
        <w:t xml:space="preserve">“the foremost example”</w:t>
      </w:r>
      <w:r>
        <w:t xml:space="preserve"> </w:t>
      </w:r>
      <w:r>
        <w:t xml:space="preserve">— intended to establish the gospel’s reach as paradigmatic and universal. The preacher should press the paradigmatic logic: if God showed perfect patience to the worst of sinners, the gospel is provably sufficient for anyone in the room. This is a theological argument, not merely a motivational anecdote.</w:t>
      </w:r>
    </w:p>
    <w:p>
      <w:pPr>
        <w:numPr>
          <w:ilvl w:val="0"/>
          <w:numId w:val="1002"/>
        </w:numPr>
      </w:pPr>
      <w:r>
        <w:rPr>
          <w:b/>
          <w:bCs/>
        </w:rPr>
        <w:t xml:space="preserve">Treating the doxology of verse 17 as a transitional flourish rather than as the climax and instruction.</w:t>
      </w:r>
      <w:r>
        <w:t xml:space="preserve"> </w:t>
      </w:r>
      <w:r>
        <w:t xml:space="preserve">The worship response is not ornamental — it is the chapter’s intended effect. A sermon on 1 Timothy 1 that does not move toward genuine doxological response has left out the chapter’s own conclusion. The preacher should not rush past verse 17 toward verses 18–20 as if the real application is in the charge to Timothy. The real application includes the worship.</w:t>
      </w:r>
    </w:p>
    <w:p>
      <w:pPr>
        <w:numPr>
          <w:ilvl w:val="0"/>
          <w:numId w:val="1002"/>
        </w:numPr>
      </w:pPr>
      <w:r>
        <w:rPr>
          <w:b/>
          <w:bCs/>
        </w:rPr>
        <w:t xml:space="preserve">Reading verses 19–20 primarily as a church discipline text rather than a personal conscience warning.</w:t>
      </w:r>
      <w:r>
        <w:t xml:space="preserve"> </w:t>
      </w:r>
      <w:r>
        <w:t xml:space="preserve">While the passage does involve ecclesial action (Paul’s handing over of Hymenaeus and Alexander), the primary address of verses 18–20 is to Timothy personally — the charge is to him, and the negative examples function as warnings for his own course. Preaching this as</w:t>
      </w:r>
      <w:r>
        <w:t xml:space="preserve"> </w:t>
      </w:r>
      <w:r>
        <w:t xml:space="preserve">“here’s how churches should handle false teachers”</w:t>
      </w:r>
      <w:r>
        <w:t xml:space="preserve"> </w:t>
      </w:r>
      <w:r>
        <w:t xml:space="preserve">rather than</w:t>
      </w:r>
      <w:r>
        <w:t xml:space="preserve"> </w:t>
      </w:r>
      <w:r>
        <w:t xml:space="preserve">“here’s what happens when you stop guarding your conscience”</w:t>
      </w:r>
      <w:r>
        <w:t xml:space="preserve"> </w:t>
      </w:r>
      <w:r>
        <w:t xml:space="preserve">mislocates the application.</w:t>
      </w:r>
    </w:p>
    <w:p>
      <w:pPr>
        <w:numPr>
          <w:ilvl w:val="0"/>
          <w:numId w:val="1002"/>
        </w:numPr>
      </w:pPr>
      <w:r>
        <w:rPr>
          <w:b/>
          <w:bCs/>
        </w:rPr>
        <w:t xml:space="preserve">Failing to connect the chapter’s two major movements (false doctrine diagnosis and gospel testimony).</w:t>
      </w:r>
      <w:r>
        <w:t xml:space="preserve"> </w:t>
      </w:r>
      <w:r>
        <w:t xml:space="preserve">The gravitational relationship between verses 3–11 and verses 12–17 is the chapter’s structural key: the gospel of grace to the worst of sinners is both the antidote to false teaching and the criterion of sound doctrine. A sermon that addresses the two movements as separate topics will fail to land the chapter’s integrated claim: the gospel itself — as displayed in Paul’s own case — is what makes all the difference between sound doctrine and empty speculation.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2026-07-14T21:08:17Z</dcterms:created>
  <dcterms:modified xsi:type="dcterms:W3CDTF">2026-07-14T21:08:17Z</dcterms:modified>
</cp:coreProperties>
</file>

<file path=docProps/custom.xml><?xml version="1.0" encoding="utf-8"?>
<Properties xmlns="http://schemas.openxmlformats.org/officeDocument/2006/custom-properties" xmlns:vt="http://schemas.openxmlformats.org/officeDocument/2006/docPropsVTypes"/>
</file>